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07.02.2023, оставленным без изменения постановлением Седьмого арбитражного апелляционного суда от 27.04.2023 и постановлением Арбитражного суда Западно-Сибирского округа от 23.08.2023, заявление удовлетворено. В кассационной жалобе Дроздов А.М. просит об отмене судебных актов ссылаясь на неисследование встречного предоставления по субаренде, во исполнение которой перечислялись платежи.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перечисление должником денежных средств в пользу аффилированного лица при неисполнении имевшихся в спорный период долговых обязательств в отсутствие раскрытия обоснования совершения платежей в качестве условий для признания их недействительными в силу статьи 61.2 Федерального закона от 26.10.2002 № 127-ФЗ «О несостоятельности (банкротстве)». Требуемая в жалобе переоценка установленных обстоятельств не попадает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Валиханову Вадиму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