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06.02.2023, оставленным без изменения постановлением Девятого арбитражного апелляционного суда от 21.04.2023, заявление удовлетворено. Арбитражный суд Московского округа постановлением от 26.07.2023, отменив определение от 06.02.2023 и постановление апелляционного суда от 21.04.2023, направил обособленный спор на новое рассмотрение в суд первой инстанции В кассационной жалобе Лаврентьев Е.А.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спора для установления не исследованных судами нижестоящих инстанций значимых обстоятельств, действовал в пределах полномочий, предоставленных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Лаврентьеву Е.А.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