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23.01.2023, оставленным без изменения постановлением Тринадцатого арбитражного апелляционного суда от 26.04.2023 и постановлением Арбитражного суда Северо-Западного округа от 28.07.2023, в удовлетворении жалобы отказано. В кассационной жалобе Парамонов Е.В. просит об отмене судебных актов, ссылаясь на несоответствие выводов судов фактическим обстоятельствам и представленным доказательствам.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нарушения прав кредиторов и должника вследствие вменяемых управляющему нарушений, поэтому отклонили жалобу в силу статей 14, 20.3, 60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Парамонову Евгению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