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Крым от 13.12.2022, оставленным без изменения постановлением Двадцать первого арбитражного апелляционного суда от 22.03.2023 и постановлением Арбитражного суда Центрального округа от 25.07.2023, процедура реализации имущества гражданина завершена, должник освобожден от дальнейшего исполнения требований кредиторов. В кассационной жалобе общество просит об отмене судебных актов, ссылаясь на ненадлежащую оценку поведения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исследовали поведение должника в ситуациях образования и погашения задолженности и признали его создающим условия для применения правила пункта 3 статьи 213.28 Федерального закона от 26.10.2002 № 127-ФЗ «О несостоятельности (банкротстве)». Иная оценка кредитором действий должника противоречит установленным обстоятельствам 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«Платосервис 1»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