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Тверской области от 30.03.2023, оставленным без изменения постановлением Четырнадцатого арбитражного апелляционного суда от 30.05.2023 и постановлением Арбитражного суда Северо-Западного округа от 29.08.2023, в удовлетворении заявления отказано. В кассационной жалобе Кротких М.Л. и Кротких А.С. просят об отмене судебных актов, ссылаясь на неправильную оценку обстоятельств заключения договора, отсутствие аудиопротокола заседания суда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приобретение супругом должника имущества не на средства должника и невозможность удовлетворения за счет этого имущества требований кредиторов в связи с нахождением в залоге, поэтому признали отсутствие влияния оспариваемого договора на интересы кредиторов и условий его недействительности в силу статьи 61.2 Федерального закона от 26.10.2002 № 127-ФЗ «О несостоятельности (банкротстве)». Нарушения судом первой инстанции статьи 155 Арбитражного процессуального кодекса Российской Федерации апелляционным и окружным судами не установлено.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Кротких Марии Львовне и Кротких Александру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