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24 ноября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определением Арбитражного суда города Санкт-Петербурга и Ленинградской области от 16.01.2023, оставленным без изменения постановлением Тринадцатого арбитражного апелляционного суда от 26.04.2023 и постановлением Арбитражного суда Северо-Западного округа от 10.08.2023, в удовлетворении заявления отказано. В кассационной жалобе Парамонов Е.В. просит об отмене судебных актов, ссылаясь на отсутствие в настоящее время денежных средств на финансирование процедуры банкротства. В силу части 1 статьи 291.11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2 иной экономической деятельности, а также защита охраняемых законом публичных интересов. Таких оснований в связи с доводами жалобы не усматривается. Выводы судов об отсутствии оснований для прекращения производства по делу основаны на исследованных судами обстоятельствах и соответствуют статьям 57, 59 Федерального закона от 26.10.2002 № 127-ФЗ «О несостоятельности (банкротстве)», а также разъяснениям постановления Пленума Высшего Арбитражного Суда Российской Федерации от 17.12.2009 № 91 «О порядке погашения расходов по делу о банкротстве». Руководствуясь статьями 291.6,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Парамонову Евгению Викторовичу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Н.А. Ксенофонтова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