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17.02.2023 заявление удовлетворено. Постановлением Девятого арбитражного апелляционного суда от 10.05.2023 производство по апелляционной жалобе Орловского М.А. прекращено, определение от 17.02.2023 оставлено без изменения, апелляционная жалоба финансового управляющего Лаврентьева Е.А. – без удовлетворения. Постановлением Арбитражного суда Московского округа от 24.07.2023 определение от 17.02.2023 и постановление апелляционного суда от 10.05.2023 оставлены без изменения. В кассационной жалобе Орловский М.А. просит об отмене судебных актов, указывая, что исключение спорной квартиры приведет к предпочтительному удовлетворению требования Латыповой Д.Р., подлежащего трансформации в денежное.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Спорная квартира юридически возвращена Латыповой Д.Р. регистрацией за ней права на основании решения суда общей юрисдикции, установившего фактическое нахождение квартиры во владении заявителя и непередачу ее должнику на основании расторгнутого договора, что исключало включение квартиры в конкурсную массу должника. Суд общей юрисдикции признал залоговые права банка в отношении квартиры, поэтому нахождение ее в конкурсной массе сохранило бы преимущества банка на удовлетворение за счет квартиры требования.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Орловскому Михаилу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