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привлечении к субсидиарной ответственности по обязательствам должника его бывших руководителей Синтяева Александра Валентиновича и Каплина Александра Михайловича, участников должника Бакова Альберта Владимировича, Болотина Михаила Григорьевича и Михалкова Никиты Сергеевича; взыскании с них солидарно 159 041 113 рублей 13 копеек. Определением Арбитражного суда Челябинской области от 01.04.2022, оставленным без изменения постановлениями Восемнадцатого арбитражного апелляционного суда от 21.04.2023 и Арбитражного суда Уральского округа от 26.07.2023,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пунктами 4 и 5 статьи 10, пунктом 6 статьи 20.3 Федерального закона от 26.10.2002 № 127-ФЗ «О несостоятельности (банкротстве)», исходили из пропуска заявителем, процессуальным правопреемником предыдущих арбитражных управляющих, субъективного годичного и объективного трехлетнего сроков исковой давности, в связи с чем отказали в удовлетворении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