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18.04.2023 заявление финансового управляющего удовлетворено: должник обязан передать финансовому управляющему автомобиль с документами, заявление должника удовлетворено в части: из конкурсной массы исключен земельный участок с расположенными на нем строениями. Одиннадцатый арбитражный апелляционный суд постановлением от 13.07.2023 и Арбитражный суд Поволжского округа постановлением от 18.09.2023 оставили определение от 18.04.2023 без изменения. В кассационной жалобе Аношкина Ю.А. просит об отмене судебных актов в части отказа в исключении из конкурсной массы транспортного средства, ссылаясь на игнорирование судами доводов о нуждаемости должника и членов его семьи в автомобиле.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спорный автомобиль не обладает исполнительским иммунитетом и его исключение из конкурсной массы при наличии неисполненных обязательств должника противоречит целям процедур банкротства, поэтому в силу статьи 213.25 Федерального закона от 26.10.2002 № 127-ФЗ «О несостоятельности (банкротстве)» и статьи 446 Гражданского процессуального кодекса Российской Федерации не признали оснований для исключения его из конкурсной массы. Доводы должника о нуждаемости в автомобиле учтены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Аношкиной Юлии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