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доводы, изложенные в кассационном представлении, не подтверждают наличие оснований, предусмотренных статьями 2916, 29111 Арбитражного процессуального кодекса Российской Федерации, для передачи представления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Генеральной прокуратуре Российской Федерации в передаче кассационного представления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