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ноября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Подольского К.О. в Арбитражный суд Ростовской области обратился финансовый управляющий его имуществом Ермошин Д.А. с заявлением о признании недействительными сделками платежей, совершенных супругой должника Подольской А.С. в период с 19.03.2019 по 27.08.2019 в пользу Шатохиной Е.В. на общую сумму 89 100 рублей, и применении последствий недействительности сделок. Определением Арбитражного суда Ростовской области от 27.02.2023, оставленным без изменения постановлением Пятнадцатого арбитражного апелляционного суда от 19.04.2023 и постановлением Арбитражного суда Северо-Кавказского округа от 28.07.2023, признано недействительной сделкой перечисление денежных средств; применены последствия недействительности сделки в виде взыскания с Шатохиной Е.В. в конкурсную массу должника ½ доли от перечисленных средств – 44 550 рублей, а также процентов за пользование чужими денежными средствам, подлежащих начислению на сумму долга по ключевой ставке Банка России, действовавшей в соответствующие периоды, с момента вступления в законную силу определения до фактического погашения задолженности. 2 Подольская А.С. обратилась в Судебную коллегию Верховного Суда Российской Федерации с кассационной жалобой на принятые по обособленному спору судебные акты, ссылаясь на существенные нарушения норм права. Согласно пункту 1 части 7 статьи 291.6 АПК РФ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АПК РФ). Таких оснований для пересмотра обжалуемых судебных актов в кассационном порядке по доводам жалобы не установлено. Разрешая спор, суды руководствовались статьями 19, 61.2 Федерального закона от 26.10.2002 № 127-ФЗ «О несостоятельности (банкротстве)», статьей 34 Семейного кодекса Российской Федерации, статьей 256 Гражданского кодекса Российской Федерации и исходили из того, что супруга должника распорядилась денежными средствами, на которые распространяется режим общей собственности супругов (доходы от трудовой деятельности), в отношении аффилированного лица, без доказательств получения встречного предоставления, что влечет недействительность спорных перечислений.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