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уступки (цессии) от 21.11.2019, заключенного между должником и Минуховым Виталием Леонидовичем (далее – цессионарий); применении последствий недействительности сделки. Определением Арбитражного суда Самарской области от 10.02.2023, оставленным без изменения постановлениями Одиннадцатого арбитражного апелляционного суда от 26.04.2023 и Арбитражного суда Поволжского округа от 27.07.2023,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624 Гражданского кодекса Российской Федерации, пунктами 1 и 2 статьи 61.2 Федерального закона от 26.10.2002 № 127-ФЗ «О несостоятельности (банкротстве)», исходили из отсутствия доказательств, подтверждающих направленность оспариваемой сделки на причинение вреда имущественным правам конкурсных кредиторов, заинтересованности цессионария, надлежащим образом исполнившего свои обязательства по оплате спорного транспортного средства перед должником (цедентом), в связи с чем отказали в удовлетворении заявления.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получившей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