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10.02.2023, оставленным без изменения постановлением Девятого арбитражного апелляционного суда от 28.04.2023 и постановлением Арбитражного суда Московского округа от 27.07.2023, требование удовлетворено в части включения 114 277 375 рублей 49 копеек основного долга и процентов, 3 218 479 рублей 13 копеек штрафных санкций в третью очередь реестра. В кассационной жалобе ФИО1 просит об отмене судебных актов, ссылаясь на прекращение договора поручительства в отношении включенных в реестр сумм.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Договор поручительства от 16.08.2018 № Ю-КЛЗ-0003-248/18-ПОР признан не прекратившимся согласно статьям 335 , 367 Гражданского кодекса Российской Федерации в связи с обращением в пределах срока его действия кредитора в суд.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ГК АСВ (КУ ООО КБ АГРОСОЮЗ) (подробнее) ИФНС России №34 по г. Москве (подробнее) ООО КБ "Агросоюз" (подробнее) ООО "УМ-Банк" (подробнее) Судьи дела: Ксенофонтова Н.А. (судья)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