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04.05.2023, оставленным без изменения постановлением Десятого арбитражного апелляционного суда от 28.06.2023 и постановлением Арбитражного суда Московского округа от 30.08.2023, требование удовлетворено частично. В кассационной жалобе ФИО1 просит об отмене судебных актов в неудовлетворенной части заявления, ссылаясь на ненадлежащую оценку доказательств наличия спорной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71 , 100 Федерального закона от 26.10.2002 № 127-ФЗ «О несостоятельности (банкротстве)», суды признали недоказанность применительно к установленным названными нормами критериям наличия обязательства, на котором основана отклоненная сумма. Требуемая переоценка обстоятельств спора не создает оснований для пересмотра судебных актов Верховным Судом Российской Федерации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"Тойота Банк" (подробнее) Ассоциация "Саморегулируемая организация арбитражных управляющих "Меркурий" (подробнее) а/у Хрусталева А.В. (подробнее) ЗАО ПУБЛИЧНОЕ АКЦИОНЕРНОЕ ОБЩЕСТВО СБЕРБАНК РОССИИ (подробнее) ООО "АВТОРСКАЯ СТОМАТОЛОГИЯ"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