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10.11.2020, оставленным без изменения постановлением Девятнадцатого арбитражного апелляционного суда от 18.02.2021 и постановлением Арбитражного суда Центрального округа от 28.06.2021, в удовлетворении заявления отказано. В кассационной жалобе ФИО2 просит об отмене судебных актов, ссылаясь на несоответствие их фактическим обстоятельствам дела, неосновательное отклонение апелляционным судом обоснования несвоевременного представления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проверили заявленные требования на соответствие критериям для включения в реестр, предусмотренным статьями 71, 100 Федерального закона от 26.10.2002 № 127-ФЗ «О несостоятельности (банкротстве)» и их судебным толкованием и, установив отсутствие у заявителя финансовой возможности предоставить спорную сумму должнику и фактическую его аффилированность с должником, признали требования не обоснованными. Отказ апелляционного суда в удовлетворении ходатайства заявителя об отложении рассмотрения жалобы для формирования дополнительной позиции соответствует процессуальным нормам.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