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ноября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Челябинской области от 07.02.2023, оставленным без изменения постановлением Восемнадцатого арбитражного апелляционного суда от 18.04.2023 и постановлением Арбитражного суда Уральского округа от 21.07.2023, заявление частично удовлетворено. В кассационной жалобе ФИО1 просит об отмене судебных актов, ссылаясь на неправильный вывод об использовании заемных денежных средств на нужды семьи.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Вывод о вложении супругами заемных денежных средств в приобретение общего имущества основан на исследованных доказательствах финансового состояния супругов. Оценка доказательств не попадает под основания для кассационного пересмотра судебных актов.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ПАО Банк "ВТБ" (подробнее) Иные лица: Ассоциация "Саморегулируемая организация арбитражных управляющих "Южный Урал" (подробнее) АССОЦИАЦИЯ САМОРЕГУЛИРУЕМАЯ ОРГАНИЗАЦИЯ "ОБЪЕДИНЕНИЕ АРБИТРАЖНЫХ УПРАВЛЯЮЩИХ "ЛИДЕР" (подробнее) Колесников Дмитрий Александрович, Батыгин Валерий Алексеевич (подробнее) Финансовый управляющий Мишнева Ксения Рудольфовна (подробнее) Судьи дела: Ксенофонтова Н.А.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