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Новосибирской области от 11.01.2023, оставленным без изменения постановлением Седьмого арбитражного апелляционного суда от 23.03.2023 и постановлением Арбитражного суда Западно-Сибирского округа от 21.07.2023, взыскано 55 650 рублей убытков. В кассационной жалобе открытое акционерное общество «Российские железные дороги» просит об отмене судебных актов, ссылаясь на доставку вагонов в нормативные сроки, исключающую убытки.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принятия порожних вагонов к перевозке против срока, согласованного в запросах-уведомлениях, имеющих силу транспортных железнодорожных накладных, признав уплаченную в ожидании отправки вагонов арендную плату отвечающей в силу статей 15, 393 Гражданского кодекса Российской Федерации критериям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