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удовлетворено намерение фонда стать приобретателем прав и обязанностей должника перед участниками строительства, требования которых включены в реестр требований участников строительства; определением Арбитражного суда Иркутской области от 28.07.2021 требования кредиторов должника, предусмотренные пунктом 1 статьи 201.1 Федерального закона от 26.10.2002 № 127-ФЗ «О несостоятельности (банкротстве)» признаны погашенными, требование фонда в размере 65 385 300 рублей включено в четвертую очередь реестра требований кредиторов должника. Фонд обратился с заявлением об отмене определения Арбитражного суда Иркутской области от 28.07.2021 в полном объёме и пересмотре дела по вновь открывшимся обстоятельствам путём исключения из четвертой очереди реестра его требования в размере 65 385 300 рублей. Определением Арбитражного суда Иркутской области от 11.04.2023, оставленным без изменения постановлением Четвертого арбитражного апелляционного суда от 22.06.2023, в удовлетворении заявления фонда об отмене определения от 28.07.2021 по вновь открывшимся обстоятельствам отказано. 2 Определением Арбитражного суда Восточно–Сибирского округа от 10.08.2023, оставленным без изменения определением Арбитражного суда Восточно–Сибирского округа от 28.08.2023 фонду отказано в удовлетворении ходатайства о восстановлении пропущенного процессуального срока на подачу кассационной жалобы, жалоба возвращена. В кассационной жалобе, поданной в Верховный Суд Российской Федерации, заявитель просит отменить определения округа, направить обособленный спор на новое рассмотрение в суд округа для разрешения вопроса о восстановлении пропущенного срока на подачу кассационной жалобы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кассационную жалобу и подтверждая законность такого возврата, суд округа, руководствуясь статьями 117, 276, 281 Арбитражного процессуального кодекса Российской Федерации, исходил из пропуска заявителем, извещённым надлежащим образом о рассмотрении обособленного спора, процессуального срока на её подачу; отсутствия уважительных причин, объективно препятствовавших своевременной подготовке жалобы и совершению процессуальных действий, направленных на её подачу. Обжалуемые определения приняты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процессуального права,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