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Нижегородской области обратился ФИО1 с заявлением о признании обязательства перед ним общим обязательством должника и его супруги ФИО3 Определением Арбитражного суда Нижегородской области от 18.11.2022, оставленным без изменения постановлением Первого арбитражного апелляционного суда от 28.02.2023 и постановлением Арбитражного суда Волго-Вятского округа от 27.07.2023, в удовлетворении заявления отказано.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 , 213.19 , 213.24 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заемные денежные средства использовались должником в предпринимательской деятельности (в том числе значительная часть суммы – на приобретение имущества с целью его дальнейшего использования для грузовых перевозок), суды сделали вывод о недоказанности расходования денежных средств на нужды семьи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ГКУ РБ ЦОДД (подробнее) МРИ ФНС №18 по Нижегородской области (подробнее) ООО "Нэйва" (подробнее) ООО "Эос" (подробнее) ООО "ЭОС" (подробнее) Ф/у Калинин А.В.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