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кредитор общество «ПКФ Тепличные Технологии» обратилось в суд с заявлениями, объединёнными в одно производство для совместного рассмотрения, о включении в реестр требований кредиторов должника (далее – реестр) задолженности по договорам поставки в размере 37 067 149 рублей 48 копеек и 24 387 882 рубля 75 копеек. Определением Арбитражного суда Самарской области от 27.01.2023, оставленным без изменения постановлениями Одиннадцатого арбитражного апелляционного суда от 29.05.2023 и Арбитражного суда Поволжского округа от 15.08.2023, в удовлетворении заявления отказано. В кассационной жалобе, поданной в Верховный Суд Российской Федерации, заявитель просит отменить оспариваемые судебные акты, признать обоснованными заявленные требования и включить их в третью очередь реестра.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2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пунктом 1 статьи 170 Гражданского кодекса Российской Федерации, статьями 71 и 100 Федерального закона от 26.10.2002 № 127-ФЗ «О несостоятельности (банкротстве)», исходили из отсутствия оснований для включения в реестр требований аффилированного с должником общества «ПКФ Тепличные Технологии» ввиду неподтверждённости реальности отношений, положенных в основу данных требований.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 судами не допущено. Доводы заявителя были предметом рассмотрения судов, получили надлежащую правовую оценку и направлены на переоценку доказательств, что находится за пределами полномочий Судебной коллегии по экономическим спорам Верховного Суда Российской Федерации.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