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Владимирской области от 02.02.2023, оставленным без изменения постановлением Первого арбитражного апелляционного суда от 03.05.2023 и постановлением Арбитражного суда Волго-Вятского округа от 02.08.2023, Чумаченко А.В. признан банкротом, в отношении него введена процедура реализации имущества гражданина, утвержден финансовый управляющий. В кассационной жалобе Чумаченко А.В. просит об отмене судебных актов, ссылаясь на неполучение денежных средств.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Выводы судов об обоснованности заявления о банкротстве должника и подлежащей включению в реестр задолженности основаны на неисполненном судебном акте, статьях 213.3, 213.5, 213.6, 213.24, 213.25 Федерального закона от 26.10.2002 № 127-ФЗ «О несостоятельности (банкротстве)». Доводы, приведенные в кассационной жалобе, являлись предметом рассмотрения судов и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Чумаченко Александру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Чумаченко Александра Васильевича в доход федерального бюджета 150 (сто пятьдесят) рублей государственной пошлины за подачу кассационной жалобы. Поручить Арбитражному суду Владимирской области выдать исполнительный лист на взыскание государственной пошлины.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