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кассационных жалоб не подтверждают наличие оснований, предусмотренных статьями 2916, 29111 Арбитражного процессуального кодекса Российской Федерации, для передачи жалоб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2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«Мобильные ТелеСистемы», закрытому акционерному обществу «Телекоммуникации 21» и Федеральной антимонопольной службе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