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19.09.2022 заявление удовлетворено. Постановлением Девятого арбитражного апелляционного суда от 27.04.2023, оставленным без изменения постановлением Арбитражного суда Московского округа от 18.07.2023, определение от 19.09.2022 отменено, заявление рассмотрено по правилам для суда первой инстанции и удовлетворено. В кассационной жалобе общество просит об отмене судебных актов апелляционного и окружного судов,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признал попадание договора под действие статьи 61.2 Федерального закона от 26.10.2002 № 127-ФЗ «О несостоятельности (банкротстве)» и наличие у него пороков для применения статей 10 , 168 Гражданского кодекса Российской Федерации. Иная оценка обстоятельств совершения сделки, изложенная в доводах кассационной жалобы,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«МФК «Кэшдрайв»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"Альфа-Банк" (подробнее) АО "ЮниКредит Банк" (подробнее) Инспекция Федеральной налоговой службы №24 по г. Москве (подробнее) Лукьянов.А.А (подробнее) ООО "Феникс" (подробнее) ПАО " Сбербанк России" (подробнее) Иные лица: ООО "Авелон" (подробнее) ООО "ГК "МореПродукт" (подробнее) ООО "М-Лизинг" (подробнее) ООО МФК "Кэшдрайв"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