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включении в реестр требований кредиторов должника (далее – реестр) требования в размере 97 472 474 рублей 81 копейка. Определение Арбитражного суда города Москвы от 03.11.2021 требование в заявленном размере признано обоснованным и включено в третью очередь реестра. Постановлением Девятого арбитражного апелляционного суда от 05.04.2023, оставленным без изменения постановлением Арбитражного суда Московского округа от 21.07.2023, привлекаемому к субсидиарной ответственности бывшему руководителю должника Мухачеву Игорю Алексеевичу восстановлен срок на обжалование определения суда первой инстанции от 03.11.2021, а само определение изменено. Требование конкурсного кредитора в заявленном размере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Исходя из доводов кассационной жалобы. заявитель не согласен с 2 обжалуемыми судебными актами судов в части понижения очерёдности удовлетворения его требования.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изменяя определение суда первой инстанции, суды апелляционной инстанции и округа, руководствуясь статьями 2, 19, 71,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от 29.01.2020, исходили из того, что спорное требование направлено на возврат компенсационного финансирования, предоставленного правопредшественником заявителя – единственным участником должника в состоянии имущественного кризиса должника и невостребованного в разумный срок. Выводы судов апелляционной инстанции и округа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