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09.03.2023, оставленным без изменения постановлением Восемнадцатого арбитражного апелляционного суда от 11.05.2023 и постановлением Арбитражного суда Уральского округа от 09.08.2023, в удовлетворении заявления отказано. В кассационной жалобе Черепенко И.А. просит об отмене судебных актов, ссылаясь на неправильную оценку обстоятельств заключения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Совершенные при равноценном встречном предоставлении взаимосвязанные сделки суды признали не попадающими под недействительные ни в силу законодательства о банкротстве, ни общегражданских оснований.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Черепенко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