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20.01.2023, оставленным без изменения постановлением Семнадцатого арбитражного апелляционного суда от 11.04.2023 и постановлением Арбитражного суда Уральского округа от 12.07.2023, в удовлетворении заявления отказано. В кассационной жалобе Ференц Н.Н. просит об отмене судебных актов, ссылаясь на противоречие в оценке финансовой состоятельности должника его бывшей супруги в разных спорах в рамках дела о банкротстве.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доводами жалобы не усматривается. Руководствуясь статьями 34, 36 Семейного кодекса Российской Федерации, статьями 213.25, 213.26 Федерального закона от 26.10.2002 № 127-ФЗ «О несостоятельности (банкротстве)», суды констатировали отсутствие оснований для признания имущества совместно нажитым, установив на основании исследованных доказательств его приобретение Либман А.В. за счет личных средств по прошествии значительного периода времени после расторжения брака с должником. Наличия противоречий в оценке финансового состояния должника в деле о банкротстве не усматривается.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Ференцу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