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платежей, совершённых должником в пользу общества в общем размере 4 408 526 рублей 12 копеек. Определением Арбитражного суда города Москвы от 10.12.2021 заявление удовлетворено. Постановлением Девятого арбитражного апелляционного суда от 31.05.2022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заявленных требований отказано. Постановлением Арбитражного суда Московского округа от 25.08.2022 отменено постановление апелляционного суда от 31.05.2022, обособленный спор направлен на новое рассмотрение в Девятый арбитражный апелляционный суд. На новом рассмотрении спора постановлением Девятого арбитражного апелляционного суда от 07.02.2023, оставленным без изменения постановлением Арбитражного суда Московского округа от 04.05.2023, заявленные требования удовлетворены.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 , 19 , пунктами 1 и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платежей, совершённых в период подозрительности неплатёжеспособным должником в пользу заинтересованного лица без получения встречного исполнения и повлекших за собой причинение вреда имущественным правам кредиторов.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переоценки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ГОСУДАРСТВЕННЫЙ СПЕЦИАЛИЗИРОВАННЫЙ РОССИЙСКИЙ ЭКСПОРТНО-ИМПОРТНЫЙ БАНК (подробнее) ИФНС России №8 по г. Москве (подробнее) Центральная акцизная таможня (подробнее) Ответчики: ООО "Завод углеродистых материалов" (подробнее) ООО "Мастер Трак Сервис" (подробнее) ООО "МеталлИнвестГрупп" (подробнее) ООО "РОСМЕТ" (подробнее) Иные лица: Ассоциация Межрегиональная саморегулируемая организация профессиональных арбитражных управляющих Территориальное управление по Центральному федеральному округу (подробнее) ООО "11 МЗ" (подробнее) ООО "АМТ-РЕГИОНПРОМ" (подробнее) ООО "ВторПромРесурс" (подробнее) ООО "МетПром" (подробнее) ООО "М-Трейд" (подробнее) ООО НПП "Златметобработка" (подробнее) ООО "СГБ-Факторинг" (подробнее) ООО Торговый дом "Промснаб"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