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15.02.2023, оставленным без изменения постановлением Восьмого арбитражного апелляционного суда от 17.04.2023, заявление удовлетворено. Арбитражный суд Западно-Сибирского округа постановлением от 17.07.2023 отменил определение от 15.02.2023 и постановление апелляционного суда от 17.04.2023 в части применения последствий недействительности сделки и направил обособленный спор в данной части на новое рассмотрение в суд первой инстанции. В кассационной жалобе ФИО2 просит отменить постановление окружного суда, ссылаясь на отсутствие оснований для отмены судебных актов в части применения последствий недействительности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признал необходимость нового рассмотрения спора для установления не исследованных судами нижестоящих инстанций значимых для применения последствий недействительности договора обстоятельств в соответствии с имеющимися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Зубику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Западно-Сибирского округа (подробнее) МО ГИБДД РЭР и ТН АМТС УМВД России по Тюменской области (подробнее) ООО "СОДЕЙСТВИЕ ФИНАНС ГРУПП" (подробнее) ПАО "Западно-Сибирский коммерческий банк" (подробнее) УМВД России по Тюменской области (подробнее) ФГБУ Филиал "ФКП Росреестра" по Тюменской области (подробнее) ЦАФАП ГИБДД УМВД России по Тюменской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