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08.04.2022 процедура реализации имущества гражданина завершена, ФИО1 освобождена от дальнейшего исполнения обязательств. Постановлением Первого арбитражного апелляционного суда от 26.04.2023, оставленным без изменения постановлением Арбитражного суда Волго-Вятского округа от 12.09.2023, определение от 08.04.2022 отменено в части: в отношении должника не применены правила об освобождении от исполнения обязательств перед Федеральной налоговой службой. В кассационной жалобе ФИО1 просит о пересмотре судебных актов апелляционного и окружного судов, ссылаясь на неосновательное восстановление уполномоченному органу срока на апелляционное обжалование определения.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Основанием для восстановления срока суды указали несвоевременное размещение судебного акта в информационно-телекоммуникационной сети «Интернет», которое при заявленном ходатайстве о восстановлении срока которое является таковым в силу пункта 12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