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28.02.2023, оставленным без изменения постановлением Восемнадцатого арбитражного апелляционного суда от 11.05.2023 и постановлением Арбитражного суда Уральского округа от 14.08.2023, процедура реализации имущества гражданина завершена, должник не освобожден от дальнейшего исполнения требований кредиторов. В кассационной жалобе Латипова Л.Р. просит об отмене судебных актов, ссылаясь на отсутствие объективных доказательств недобросовестности перед банками.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2 В исследованных обстоятельствах образования и погашения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Латиповой Ляйсан Ринатовне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