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Санкт-Петербурга и Ленинградской области от 24.04.2023, оставленным без изменения постановлением Тринадцатого арбитражного апелляционного суда от 24.07.2023 и постановлением Арбитражного суда Северо-Западного округа от 13.09.2023, производство по заявлению прекращено. В кассационной жалобе Гридяев В.Н. просит об отмене судебных актов, ссылаясь на неправильную квалификацию судами заявленных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обращение управляющего с требованием о взыскании расходов по делу о банкротстве за пределами установленного срока и без указания причин его пропуска, суды прекратили производство по заявлению, что соответствует статьям 112, 150 Арбитражного процессуального кодекса Российской Федерации и пункту 52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Гридяеву Виктору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