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19.04.2023, оставленным без изменения постановлением Семнадцатого арбитражного апелляционного суда от 21.06.2023 и постановлением Арбитражного суда Уральского округа от 14.09.2023,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