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Васечкин Виктор Владимирович обратился в суд с заявлением о признании недействительными сделками актов зачёта взаимных требований между должником и его учредителем (обществом) от 05.02.2018 на сумму 36 326 989 рублей 86 копеек, от 31.10.2018 на сумму 9 433 802 рубля 48 копеек и от 14.12.2018 на сумму 5 005 753 рубля 42 копейки. Определением Арбитражного суда города Москвы от 13.03.2023, оставленным без изменения постановлениями Девятого арбитражного апелляционного суда от 01.06.2023 и Арбитражного суда Московского округа от 16.08.2023,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19, пунктом 2 статьи 61.2 Федерального закона от 26.10.2002 № 127-ФЗ «О несостоятельности (банкротстве)», установив, что погашение обязательств заинтересованных лиц – неплатёжеспособного должника и его учредителя совершено в период подозрительности и привело к причинению имущественного вреда конкурсным кредиторам, признали недействительными оспариваемые сделки, правомерно применив последствия их недействительности.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