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текста указанного определения допущены опечатки в указании наименования заявителя кассационной жалобы, которые подлежат исправлению. Поскольку исправление опечаток не влияет на существо принятого судебного акта, данные опечатки подлежат исправлению на основании части 3 статьи 179 Арбитражного процессуального кодекса Российской Федерации. Руководствуясь статьями 179, 184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внести исправление в определение судьи Верховного Суда Российской Федерации от 25.08.2023 № 304-ЭС23-15319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при указании наименования лица, подавшего кассационную жалобу, а именно: вместо «акционерное общество «Машиностроительный завод ЭнергоТехСервис» следует читать «общество с ограниченной ответственностью «Новосибирский завод генераторных установок».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