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Ярославской области от 02.04.2023 введена процедура реструктуризации долгов гражданина, утвержден финансовый управляющий. Постановлением Второго арбитражного апелляционного суда от 13.06.2023, оставленным без изменения постановлением Арбитражного суда Волго-Вятского округа от 08.09.2023, производство по апелляционной жалобе Смирновой Е.Н. на определение от 02.04.2023 прекращено на основании пункта 1 части 1 статьи 150 Арбитражного процессуального кодекса Российской Федерации. В кассационной жалобе Смирнова Е.Н. просит отменить судебные акты апелляционного и окружного судов, ссылаясь на непроверку основания подачи жалобы, нарушение равенства прав кредиторов. Согласно части 1 статьи 291.11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2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руководствуясь критериями статей 34, 35 Федерального закона от 26.10.2002 № 127-ФЗ «О несостоятельности (банкротстве)», пунктом 30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 для признания лиц участниками дела о банкротстве, обособленного спора в деле о банкротстве, арбитражного процесса по делу о банкротстве, установил, что Смирнова Е.Н. не соответствует таковым и не обладает статусом лица, участвующего в деле о банкротстве, поскольку на момент рассмотрения апелляционной жалобы ее требования не были включены в реестр.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Смирновой Елене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