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«ДВ-Рыбка» (далее – общество) обратилось в суд с ходатайством об объединении в одно производство следующих обособленных споров № 241686/2022 (о признании недействительной сделки, оформленной заключенными между должником и обществом договором поставки от 04.06.2020 № 12/06/2020, спецификацией от 08.07.2020 № 1, дополнительным соглашением от 31.08.2020 № 01) и № 244921/2022 (о признании недействительными сделок по перечислению должником в пользу общества с ограниченной ответственностью ТД «Аврора» денежных средств в общем размере 13 848 961 рубль 60 копеек). Определением Арбитражного суда Приморского края от 05.06.2023, оставленным без изменения постановлением Пятого арбитражного апелляционного суда от 14.07.2023, в удовлетворении ходатайства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и отказывая в удовлетворении ходатайства, суды первой и апелляционной инстанции, руководствуясь положениями статьи 130 Арбитражного процессуального кодекса Российской Федерации, исходили из отсутствия целесообразности объединения двух обособленный споров (состав требований и участников в которых различается) как не отвечающего целям эффективного правосудия и влекущего необоснованное затягивание процессуальных сроков их рассмотрения. Выводы судов первой и апелляционной инстанции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