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Ростовской области от 27.04.2021, оставленным без изменения постановлением Пятнадцатого арбитражного апелляционного суда от 04.04.2022 и постановлением Арбитражного суда Северо-Кавказского округа от 31.05.2022, заявление признано обоснованным, введена процедура реструктуризации долгов гражданина; требования кредитора включены в третью очередь реестра, утвержден финансовый управляющий. В кассационной жалобе ФИО1 просит об отмене судебных актов, ссылаясь на неправильную оценку займа.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наличие неисполненного должником судебного акта на сумму в 32 460 650 рублей, позволяющее кредитору в силу статей 213.1 , 213.3 , 213.5 , 213.6 Федерального закона от 26.10.2002 № 127-ФЗ «О несостоятельности (банкротстве)» инициировать процедуры банкротства. Приведенные в жалобе доводы рассмотрены и учтены судами и не составляют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ф/у Алтынбаев Р.Р. (подробнее) Иные лица: НП "МСОПАУ" (подробнее) НП САУ СРО "Дело" (подробнее) Управление Федеральной службы исполнения наказаний по Рязанской области в лице ФКУ ИС №6 (подробнее) Ф/ уалтынбаев Р. Р.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