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спора определением Арбитражного суда города Москвы от 11.04.2023, оставленным без изменения постановлением Девятого арбитражного апелляционного суда от 13.06.2023 и постановлением Арбитражного суда Московского округа от 26.07.2023, производство по заявлению прекращено. В кассационной жалобе Мезяев С.Н. просит об отмене судебных актов, ссылаясь на неправомерность проведения зачета.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отсутствие у должника иных кредиторов, кроме Иванова О.Г., в пользу которого являющаяся предметом зачета сумма взыскана с должника решением арбитражного суда.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Мезяеву Сергею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