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акционерным обществом Коммерческий Банк «Рублев» государственная корпорация «Агентство по страхованию вкладов» (далее – банк) обратилась в суд с заявлением о признании должника несостоятельным (банкротом). Определением Арбитражного суда города Москвы от 23.03.2023 заявление признано обоснованным. В отношении должника введена процедура наблюдения, требование кредитора в общем размере 363 607 240 рублей 68 копеек признано обоснованным и включено в третью очередь реестра требований кредиторов должника (далее – реестр) как обеспеченное залогом имущества должника. Не согласившись с названным определением суда первой инстанции, заявитель обжаловала его в апелляционном порядке. Постановлением Девятого арбитражного апелляционного суда от 04.07.2023 производство по апелляционной жалобе заявителя прекращено на основании пункта 1 части 1 статьи 150 Арбитражного процессуального суда Российской Федерации. Постановлением Арбитражного суда Московского округа от 04.09.2023 прекращено производство по кассационной жалобе заявителя на принятые по спору определение суда первой инстанции от 23.03.2023 и постановление апелляционного суда от 04.07.2023 в части включения в третью очередь реестра требования банка в заявленном размере. 2 В кассационной жалобе, поданной в Верховный Суд Российской Федерации, заявитель просит отменить названные судебные акты в части прекращения производства по апелляционной жалобе и направить обособленный спор в отменённой части на новое рассмотрение в апелляционный суд.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апелляционный суд, руководствуясь статьями 42, 150, 184, 188 Арбитражного процессуального кодекса Российской Федерации, исходил из того, что обжалуемый судебный акт не затрагивает прав и обязанностей заявителя, в связи с чем пришёл к выводам об отсутствии у неё права на обжалование определения суда первой инстанции. Проверяя обоснованность прекращения производства по апелляционной жалобе и прекращая производство по кассационной жалобе заявителя, суд округа не установил нарушений норм процессуального права и согласился с указанными выводами. Выводы судов апелляционной инстанции и округа в обжалуемой заявителем части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