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«Марканс» обратилось в Арбитражный суд Московской области с заявлением о признании Сенникова В.П. несостоятельным (банкротом). Определением Арбитражного суда Московской области от 19.02.2019 признано обоснованным требование ООО «Марканс» в размере 34 044 069 рублей 87 копеек и включено в третью очередь реестра требований кредиторов должника; в отношении должника введена процедура реструктуризации долгов. В рамках дела о несостоятельности (банкротстве) Сенникова В.П. удовлетворено ходатайство финансового управляющего о переходе к рассмотрению дела по правилам параграфа 4 главы Х Федерального закона от 26.10.2002 № 127-ФЗ «О несостоятельности (банкротстве)». Определением Арбитражного суда Московской области от 09.02.2022 удовлетворено заявление кредитора Паевского В.В. о пересмотре по новым обстоятельствам определения суда первой инстанции в части признания 2 обоснованным и включения в реестр требований кредиторов должника требования ООО «Марканс». Определение Арбитражного суда Московской области от 19.02.2019 отменено по новым обстоятельствам в части включения в третью очередь реестра требований кредиторов должника требования ООО «Марканс». Определением Арбитражного суда Московской области от 27.02.2023 требование ООО «Марканс» в размере 34 044 069 рублей 87 копеек, из которых 22 324 802 рубля 05 копеек основного долга и 11 719 267 рублей 82 копейки процентов, включено в третью очередь реестра требований кредиторов должника без права голоса на первом собрании кредиторов должника. Постановлением Десятого арбитражного апелляционного суда от 27.04.2023 определение суда первой инстанции оставлено без изменения. Арбитражный суд Московского округа постановлением от 24.07.2023 указанные судебные акты оставил без изменения. Сенникова О.В., Сенникова А.В. и Сенникова М.В. обратились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71, 100, 213.24 Федерального закона от 26.10.2002 № 127-ФЗ «О несостоятельности (банкротстве)», суды пришли к выводу о том, что наличие и размер задолженности подтверждены надлежащими доказательствами, отвечающими требованиям относимости, допустимости и достоверности, доказательств погашения спорной суммы не представлено, и признали требование к поручителю в заявленном размере 3 обоснованным и подлежим включению в третью очередь реестра требований кредиторов должника.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