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Мотляха М.С. в Арбитражный суд города Москвы обратилось ПАО «Банк ВТБ» с заявлением о включении задолженности по кредитным договорам в размере 4 903 567 рублей 20 копеек в реестр требований кредиторов должника, часть из которой обеспечена залогом имущества должника. Определением Арбитражного суда города Москвы от 18.11.2022 требование банка в размере 3 186 198 рублей 39 копеек включено в третью очередь реестра требований кредиторов должника; в удовлетворении заявления в остальной части отказано. Постановлением Девятого арбитражного апелляционного суда от 02.03.2023 определение суда первой инстанции отменено, признано обоснованным и подлежащим включению в третью очередь реестра требований кредиторов должника требование банка в размере 4 903 567 рублей 20 копеек, в том числе неустойка, подлежащая учету отдельно; требование по кредитному договору от 20.05.2015 № 623/0755-0000380 в размере 1 217 181 рубля 56 копеек основной задолженности признано обеспеченным залогом квартиры. 2 Арбитражный суд Московского округа постановлением от 25.07.2023 постановление суда апелляционной инстанции оставил без изменения. Мотлях М.С. и финансовый управляющий Козьминых Е.Е. обратились в Судебную коллегию Верховного Суда Российской Федерации с кассационными жалобами на принятые по спору постановления судов апелляционной и кассационной инстанций,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 не установлено. Признавая требование банка обоснованным и подлежащим включению в реестр требований кредиторов должника, суды апелляционной и кассационной инстанций руководствовались положениями статей 71, 100, 213.24 Федерального закона от 26.10.2002 № 127-ФЗ «О несостоятельности (банкротстве)», статьями 309, 329, 334, 339, 807, 808, 810, 819 Гражданского кодекса Российской Федерации, статьей 77 Федерального закона от 16.07.1998 № 102-ФЗ «Об ипотеке (залоге недвижимости)», разъяснениями, изложенными в постановлении Пленума Высшего Арбитражного Суда Российской Федерации от 23.07.2009 № 58 «О некоторых вопросах, связанных с удовлетворением требований залогодержателя при банкротстве залогодателя», статьями 3, 14, 15 Федерального закона от 27.05.1998 № 76-ФЗ «О статусе военнослужащих», положениями Федерального закона от 20.08.2004 № 117-ФЗ «О накопительно-ипотечной системе жилищного обеспечения военнослужащих» и исходили из того, что кредитный договор от 20.05.2015 заключен между должником и банком, соглашение о целевом займе не предусматривало перевода долга на ФГКУ «Росвоенипотека», обязанным лицом перед банком по кредитному договору является должник, срок исполнения кредитных обязательств, обеспеченных залогом имущества должника (ипотекой квартиры), считается наступившим.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