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 ставится вопрос о ее передаче для рассмотрения в судебном заседании Судебной коллегии по экономическим спорам Верховного Суда Российской Федерации. По запросу судьи Верховного Суда Российской Федерации от 10.10.2022 дело истребовано из Арбитражного суда Саратовской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Таких оснований для пересмотра судебных актов по доводам кассационной жалобы, изученным по материалам истребованного дела, не установлено. Прекращая производство по апелляционной жалобе заявителя, возвращая его кассационную жалобу и подтверждая правильность этих выводов, апелляционный и окружной суды руководствовались положениями процессуального законодательства и исходили из того, что заявитель, извещенный надлежащим образом о судебном процессе, обратился с жалобами на решение суда первой инстанции с пропуском установленного срока и не привел уважительных причин в обоснование ходатайств о его восстановлении. Доводы заявителя кассационной жалобы не подтверждают существенных нарушений судами норм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«Агривелл с.р.о.» (Agriwell s.r.o.)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