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08.02.2023, оставленным без изменения постановлением Тринадцатого арбитражного апелляционного суда от 24.04.2023 и постановлением Арбитражного суда Северо-Западного округа от 18.07.2023, в удовлетворении заявления отказано. В кассационной жалобе общество «Четыреста четыре» просит об отмене судебных актов вследствие неверной квалификации спорных платежей.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требуемая сумма является коммунальными платежами, подлежащими погашению в порядке очередности текущих требований, а не за счет выручки от реализации заложенного имущества. Отличная от судебной оценка требования не составляет оснований для пересмотра судебных актов в кассационном порядке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«Четыреста четыре»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