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03.11.2022, оставленным без изменения постановлением Десятого арбитражного апелляционного суда от 10.02.2023 и постановлением Арбитражного суда Московского округа от 10.07.2023, в удовлетворении заявления отказано. В кассационной жалобе должник просит об отмене судебных актов, ссылаясь на отсутствие права на мораторные проценты.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Довод должника об отсутствии права на мораторные проценты ошибочен, поскольку на них заменяются подлежащие уплате в случае отсутствия банкротства проценты по обязательству должника перед кредитором.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Ожерельеву Николаю Андреевичу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