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06.12.2022, оставленным без изменения постановлением Пятнадцатого арбитражного апелляционного суда от 15.05.2023 и постановлением Арбитражного суда Северо-Кавказского округа от 18.07.2023, заявление удовлетворено. В кассационной жалобе Шиян В.Г. просит об отмене судебных актов, ссылаясь на наличие оснований для прекращения производства по заявлению, рассмотренному в деле о банкротстве общества.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Довод о необходимости прекращения производства по заявлению неоснователен, поскольку основанием для включения требования в реестр в деле о банкротстве должника является принятый в деле о банкротстве общества судебный акт.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Шияну Виктору Георгиевичу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