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26.10.2022, оставленным без изменения постановлением Тринадцатого арбитражного апелляционного суда от 02.03.2023 и постановлением Арбитражного суда Северо-Западного округа от 21.06.2023, в удовлетворении заявления отказано. В кассационной жалобе Парамонов Е.В. просит об отмене судебных актов, ссылаясь на ненадлежащую оценку действий финансового управляющего.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нарушений для констатации незаконности действий (бездействия) финансового управляющего, поэтому отклонили жалобу в соответствии со статьями 20.3, 60, 213.9 Федерального закона от 26.10.2002 № 127-ФЗ «О несостоятельности (банкротстве)» и их судебного толкования. Отличная от судебной оценка действий управляющего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