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Калмыкия от 10.02.2023, оставленным без изменения постановлением Шестнадцатого арбитражного апелляционного суда от 31.05.2023 и постановлением Арбитражного суда Северо-Кавказского округа от 11.08.2023, заявление удовлетворено, требование кредитора включено в третью очередь реестра. В кассационных жалобах заявители просят об отмене судебных актов, ссылаясь на увеличение долговой нагрузки включением требования банка в реестр, неопределенность в распределении голосов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Погашение обязательств из поручительства и в связи с субсидиарной ответственностью должника, как и определение голосов кредиторов должно подчиняться правилу о соотношении этих обязательств.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Савкаевой Алине Николаевне, Бадаеву Николаю Тавуновичу, Ковалеву Александру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