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09.02.2023, оставленным без изменения постановлением Третьего арбитражного апелляционного суда от 18.05.2023 и постановлением Арбитражного суда Восточно-Сибирского округа от 18.07.2023, заявление удовлетворено на сумму в 282 367 рублей 60 копеек. В кассационной жалобе банк просит об отмене судебных актов, ссылаясь на отсутствие причинно-следственной связи между возражениями в рамках обособленного спора и заявленными расходами.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условия для взыскания расходов, отвечающие позициям постановлений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спора и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Акцепт»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