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24.03.2023, оставленным без изменения постановлением Одиннадцатого арбитражного апелляционного суда от 30.05.2023 и постановлением Арбитражного суда Поволжского округа от 08.08.2023, в удовлетворении заявления отказано. В кассационной жалобе Аввакумова И.Д. просит отменить судебные акты, выражая несогласие с выводами суда, изложенными в определении суда первой инстанции от 24.06.2019.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Отказывая в разъяснении определения о неприменении к должнику правил об освобождении от исполнения обязательств перед кредиторами после завершения процедур банкротства, суды исходили из того, что судебный акт не содержит неясностей и неопределенностей, допускающих неоднозначное толкование и требующих разъяснения в порядке статьи 179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Аввакумовой Ирине Дмитриевне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