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03.11.2022, оставленным без изменения постановлением Десятого арбитражного апелляционного суда от 27.03.2023, заявление удовлетворено. Постановлением Арбитражного суда Московского округа от 11.07.2023 определение от 03.11.20222 и постановление апелляционного суда от 27.03.2023 отменены, в удовлетворении заявления отказано. В кассационной жалобе Медведева О.Н. просит об отмене постановления окружного суда, ссылаясь на нарушение пределов рассмотрения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Окружной суд установил неправильное применение норм права к установленным нижестоящими судами обстоятельствам спора, состоящим в нахождении домовладения в единоличной собственности должника и в залоге у кредитора, требования которого включены в реестр, поэтому отменили судебные акты в пределах имеющейся в силу статей 286, 287 Арбитражного процессуального кодекса Российской Федерации компетенции и отказали в исключении требуемой суммы в пользу должника.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Медведевой Оксане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